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第二部分：</w:t>
      </w:r>
      <w:bookmarkStart w:id="2" w:name="_GoBack"/>
      <w:r>
        <w:rPr>
          <w:rFonts w:hint="eastAsia" w:ascii="黑体" w:hAnsi="黑体" w:eastAsia="黑体"/>
          <w:bCs/>
          <w:color w:val="auto"/>
          <w:sz w:val="32"/>
          <w:szCs w:val="32"/>
          <w:highlight w:val="none"/>
          <w:u w:val="none"/>
        </w:rPr>
        <w:t>南宁市红十字会备灾救灾服务中心</w:t>
      </w:r>
      <w:r>
        <w:rPr>
          <w:rFonts w:hint="eastAsia" w:ascii="黑体" w:hAnsi="黑体" w:eastAsia="黑体"/>
          <w:color w:val="auto"/>
          <w:sz w:val="32"/>
          <w:szCs w:val="32"/>
          <w:highlight w:val="none"/>
        </w:rPr>
        <w:t>2022年度部门决算报表</w:t>
      </w:r>
      <w:bookmarkEnd w:id="2"/>
    </w:p>
    <w:tbl>
      <w:tblPr>
        <w:tblStyle w:val="3"/>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部门：</w:t>
            </w:r>
            <w:r>
              <w:rPr>
                <w:rFonts w:ascii="方正仿宋_GB2312" w:hAnsi="方正仿宋_GB2312" w:eastAsia="方正仿宋_GB2312" w:cs="方正仿宋_GB2312"/>
                <w:color w:val="auto"/>
                <w:sz w:val="20"/>
                <w:highlight w:val="none"/>
                <w:u w:color="auto"/>
              </w:rPr>
              <w:t>南宁市红十字会备灾救灾服务中心</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162.42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r>
    </w:tbl>
    <w:p>
      <w:pPr>
        <w:autoSpaceDE w:val="0"/>
        <w:autoSpaceDN w:val="0"/>
        <w:adjustRightInd w:val="0"/>
        <w:ind w:firstLine="440" w:firstLineChars="200"/>
        <w:jc w:val="left"/>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注：1.本表反映部门本年度的总收支和年末结转结余情况。</w:t>
      </w:r>
      <w:r>
        <w:rPr>
          <w:rFonts w:hint="eastAsia" w:ascii="方正仿宋_GB2312" w:hAnsi="方正仿宋_GB2312" w:eastAsia="方正仿宋_GB2312" w:cs="方正仿宋_GB2312"/>
          <w:color w:val="auto"/>
          <w:kern w:val="0"/>
          <w:sz w:val="22"/>
          <w:szCs w:val="22"/>
          <w:highlight w:val="none"/>
        </w:rPr>
        <w:tab/>
      </w:r>
      <w:r>
        <w:rPr>
          <w:rFonts w:hint="eastAsia" w:ascii="方正仿宋_GB2312" w:hAnsi="方正仿宋_GB2312" w:eastAsia="方正仿宋_GB2312" w:cs="方正仿宋_GB2312"/>
          <w:color w:val="auto"/>
          <w:kern w:val="0"/>
          <w:sz w:val="22"/>
          <w:szCs w:val="22"/>
          <w:highlight w:val="none"/>
        </w:rPr>
        <w:tab/>
      </w:r>
      <w:r>
        <w:rPr>
          <w:rFonts w:hint="eastAsia" w:ascii="方正仿宋_GB2312" w:hAnsi="方正仿宋_GB2312" w:eastAsia="方正仿宋_GB2312" w:cs="方正仿宋_GB2312"/>
          <w:color w:val="auto"/>
          <w:kern w:val="0"/>
          <w:sz w:val="22"/>
          <w:szCs w:val="22"/>
          <w:highlight w:val="none"/>
        </w:rPr>
        <w:tab/>
      </w:r>
      <w:r>
        <w:rPr>
          <w:rFonts w:hint="eastAsia" w:ascii="方正仿宋_GB2312" w:hAnsi="方正仿宋_GB2312" w:eastAsia="方正仿宋_GB2312" w:cs="方正仿宋_GB2312"/>
          <w:color w:val="auto"/>
          <w:kern w:val="0"/>
          <w:sz w:val="22"/>
          <w:szCs w:val="22"/>
          <w:highlight w:val="none"/>
        </w:rPr>
        <w:tab/>
      </w:r>
      <w:r>
        <w:rPr>
          <w:rFonts w:hint="eastAsia" w:ascii="方正仿宋_GB2312" w:hAnsi="方正仿宋_GB2312" w:eastAsia="方正仿宋_GB2312" w:cs="方正仿宋_GB2312"/>
          <w:color w:val="auto"/>
          <w:kern w:val="0"/>
          <w:sz w:val="22"/>
          <w:szCs w:val="22"/>
          <w:highlight w:val="none"/>
        </w:rPr>
        <w:tab/>
      </w:r>
    </w:p>
    <w:p>
      <w:pPr>
        <w:autoSpaceDE w:val="0"/>
        <w:autoSpaceDN w:val="0"/>
        <w:adjustRightInd w:val="0"/>
        <w:ind w:firstLine="440" w:firstLineChars="200"/>
        <w:jc w:val="left"/>
        <w:rPr>
          <w:rFonts w:hint="eastAsia" w:ascii="方正仿宋_GB2312" w:hAnsi="方正仿宋_GB2312" w:eastAsia="方正仿宋_GB2312" w:cs="方正仿宋_GB2312"/>
          <w:color w:val="auto"/>
          <w:kern w:val="0"/>
          <w:sz w:val="32"/>
          <w:szCs w:val="32"/>
          <w:highlight w:val="none"/>
        </w:rPr>
      </w:pPr>
      <w:r>
        <w:rPr>
          <w:rFonts w:hint="eastAsia" w:ascii="方正仿宋_GB2312" w:hAnsi="方正仿宋_GB2312" w:eastAsia="方正仿宋_GB2312" w:cs="方正仿宋_GB2312"/>
          <w:color w:val="auto"/>
          <w:kern w:val="0"/>
          <w:sz w:val="22"/>
          <w:szCs w:val="22"/>
          <w:highlight w:val="none"/>
        </w:rPr>
        <w:t xml:space="preserve">    2.本套报表金额单位转换时可能存在尾数误差。</w:t>
      </w:r>
      <w:r>
        <w:rPr>
          <w:rFonts w:hint="eastAsia" w:ascii="方正仿宋_GB2312" w:hAnsi="方正仿宋_GB2312" w:eastAsia="方正仿宋_GB2312" w:cs="方正仿宋_GB2312"/>
          <w:color w:val="auto"/>
          <w:kern w:val="0"/>
          <w:sz w:val="32"/>
          <w:szCs w:val="32"/>
          <w:highlight w:val="none"/>
        </w:rPr>
        <w:tab/>
      </w:r>
    </w:p>
    <w:p>
      <w:pPr>
        <w:rPr>
          <w:rFonts w:hint="eastAsia" w:ascii="方正仿宋_GB2312" w:hAnsi="方正仿宋_GB2312" w:eastAsia="方正仿宋_GB2312" w:cs="方正仿宋_GB2312"/>
          <w:color w:val="auto"/>
          <w:kern w:val="0"/>
          <w:sz w:val="30"/>
          <w:szCs w:val="30"/>
          <w:highlight w:val="none"/>
          <w:lang w:bidi="ar"/>
        </w:rPr>
      </w:pPr>
      <w:r>
        <w:rPr>
          <w:rFonts w:hint="eastAsia" w:ascii="方正仿宋_GB2312" w:hAnsi="方正仿宋_GB2312" w:eastAsia="方正仿宋_GB2312" w:cs="方正仿宋_GB2312"/>
          <w:color w:val="auto"/>
          <w:kern w:val="0"/>
          <w:sz w:val="32"/>
          <w:szCs w:val="32"/>
          <w:highlight w:val="none"/>
        </w:rPr>
        <w:br w:type="page"/>
      </w:r>
    </w:p>
    <w:tbl>
      <w:tblPr>
        <w:tblStyle w:val="3"/>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部门：</w:t>
            </w:r>
            <w:r>
              <w:rPr>
                <w:rFonts w:ascii="方正仿宋_GB2312" w:hAnsi="方正仿宋_GB2312" w:eastAsia="方正仿宋_GB2312" w:cs="方正仿宋_GB2312"/>
                <w:color w:val="auto"/>
                <w:sz w:val="20"/>
                <w:highlight w:val="none"/>
                <w:u w:color="auto"/>
              </w:rPr>
              <w:t>南宁市红十字会备灾救灾服务中心</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169.85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169.85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162.42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162.42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6.97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6.97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2080506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机关事业单位职业年金缴费支出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2.34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2.34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20816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红十字事业</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155.46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155.46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2081699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其他红十字事业支出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155.46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155.46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2101103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公务员医疗补助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2101199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其他行政事业单位医疗支出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注：本表反映部门本年度取得的各项收入情况。</w:t>
            </w:r>
          </w:p>
        </w:tc>
      </w:tr>
    </w:tbl>
    <w:p>
      <w:pPr>
        <w:jc w:val="center"/>
        <w:rPr>
          <w:rFonts w:hint="eastAsia" w:ascii="方正仿宋_GB2312" w:hAnsi="方正仿宋_GB2312" w:eastAsia="方正仿宋_GB2312" w:cs="方正仿宋_GB2312"/>
          <w:color w:val="auto"/>
          <w:sz w:val="24"/>
          <w:highlight w:val="none"/>
        </w:rPr>
      </w:pPr>
    </w:p>
    <w:p>
      <w:pP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br w:type="page"/>
      </w:r>
    </w:p>
    <w:p>
      <w:pPr>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表三：支出决算表</w:t>
      </w:r>
    </w:p>
    <w:tbl>
      <w:tblPr>
        <w:tblStyle w:val="3"/>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部门：</w:t>
            </w:r>
            <w:r>
              <w:rPr>
                <w:rFonts w:ascii="方正仿宋_GB2312" w:hAnsi="方正仿宋_GB2312" w:eastAsia="方正仿宋_GB2312" w:cs="方正仿宋_GB2312"/>
                <w:color w:val="auto"/>
                <w:sz w:val="20"/>
                <w:highlight w:val="none"/>
                <w:u w:color="auto"/>
              </w:rPr>
              <w:t>南宁市红十字会备灾救灾服务中心</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169.85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52.99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116.86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162.42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45.56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116.86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6.97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6.97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4.63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2080506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机关事业单位职业年金缴费支出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2.34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20816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红十字事业</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155.46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38.59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116.86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2081699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其他红十字事业支出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155.46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38.59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116.86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1.85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2101103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公务员医疗补助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2101199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其他行政事业单位医疗支出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注：本表反映部门本年度各项支出情况。</w:t>
            </w:r>
          </w:p>
        </w:tc>
      </w:tr>
    </w:tbl>
    <w:p>
      <w:pP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br w:type="page"/>
      </w:r>
    </w:p>
    <w:p>
      <w:pPr>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表四：财政拨款收入支出决算总表</w:t>
      </w:r>
    </w:p>
    <w:tbl>
      <w:tblPr>
        <w:tblStyle w:val="3"/>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部门：</w:t>
            </w:r>
            <w:r>
              <w:rPr>
                <w:rFonts w:ascii="方正仿宋_GB2312" w:hAnsi="方正仿宋_GB2312" w:eastAsia="方正仿宋_GB2312" w:cs="方正仿宋_GB2312"/>
                <w:color w:val="auto"/>
                <w:sz w:val="20"/>
                <w:highlight w:val="none"/>
                <w:u w:color="auto"/>
              </w:rPr>
              <w:t>南宁市红十字会备灾救灾服务中心</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162.42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162.42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3.96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3.47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169.85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注：本表反映部门本年度一般公共预算财政拨款、政府性基金预算财政拨款和国有资本经营预算财政拨款的总收支和年末结转结余情况。</w:t>
            </w: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0"/>
                <w:szCs w:val="20"/>
                <w:highlight w:val="none"/>
              </w:rPr>
            </w:pPr>
          </w:p>
        </w:tc>
      </w:tr>
    </w:tbl>
    <w:p>
      <w:pPr>
        <w:jc w:val="left"/>
        <w:rPr>
          <w:rFonts w:hint="eastAsia" w:ascii="方正仿宋_GB2312" w:hAnsi="方正仿宋_GB2312" w:eastAsia="方正仿宋_GB2312" w:cs="方正仿宋_GB2312"/>
          <w:color w:val="auto"/>
          <w:sz w:val="24"/>
          <w:highlight w:val="none"/>
        </w:rPr>
      </w:pPr>
    </w:p>
    <w:p>
      <w:pP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br w:type="page"/>
      </w:r>
    </w:p>
    <w:p>
      <w:pPr>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表五：一般公共预算财政拨款支出决算表</w:t>
      </w:r>
    </w:p>
    <w:tbl>
      <w:tblPr>
        <w:tblStyle w:val="3"/>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部门：</w:t>
            </w:r>
            <w:r>
              <w:rPr>
                <w:rFonts w:ascii="方正仿宋_GB2312" w:hAnsi="方正仿宋_GB2312" w:eastAsia="方正仿宋_GB2312" w:cs="方正仿宋_GB2312"/>
                <w:color w:val="auto"/>
                <w:sz w:val="20"/>
                <w:highlight w:val="none"/>
                <w:u w:color="auto"/>
              </w:rPr>
              <w:t>南宁市红十字会备灾救灾服务中心</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w:t>
            </w:r>
          </w:p>
        </w:tc>
      </w:tr>
      <w:tr>
        <w:tblPrEx>
          <w:tblCellMar>
            <w:top w:w="0" w:type="dxa"/>
            <w:left w:w="108" w:type="dxa"/>
            <w:bottom w:w="0" w:type="dxa"/>
            <w:right w:w="108" w:type="dxa"/>
          </w:tblCellMar>
        </w:tblPrEx>
        <w:trPr>
          <w:trHeight w:val="374"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169.85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52.99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116.86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162.42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45.56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116.86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6.97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6.97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2080506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 xml:space="preserve">  机关事业单位职业年金缴费支出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20816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红十字事业</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155.46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38.59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116.86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2081699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 xml:space="preserve">  其他红十字事业支出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155.46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38.59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116.86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1.85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2101103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 xml:space="preserve">  公务员医疗补助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2101199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 xml:space="preserve">  其他行政事业单位医疗支出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注：本表反映部门本年度一般公共预算财政拨款支出情况。</w:t>
            </w:r>
          </w:p>
        </w:tc>
      </w:tr>
    </w:tbl>
    <w:p>
      <w:pP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br w:type="page"/>
      </w:r>
    </w:p>
    <w:p>
      <w:pPr>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表六：一般公共预算财政拨款基本支出决算表</w:t>
      </w:r>
    </w:p>
    <w:tbl>
      <w:tblPr>
        <w:tblStyle w:val="3"/>
        <w:tblW w:w="14000" w:type="dxa"/>
        <w:tblInd w:w="96" w:type="dxa"/>
        <w:tblLayout w:type="fixed"/>
        <w:tblCellMar>
          <w:top w:w="0" w:type="dxa"/>
          <w:left w:w="108" w:type="dxa"/>
          <w:bottom w:w="0" w:type="dxa"/>
          <w:right w:w="108" w:type="dxa"/>
        </w:tblCellMar>
      </w:tblPr>
      <w:tblGrid>
        <w:gridCol w:w="1762"/>
        <w:gridCol w:w="1716"/>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76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7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部门：</w:t>
            </w:r>
            <w:r>
              <w:rPr>
                <w:rFonts w:ascii="方正仿宋_GB2312" w:hAnsi="方正仿宋_GB2312" w:eastAsia="方正仿宋_GB2312" w:cs="方正仿宋_GB2312"/>
                <w:color w:val="auto"/>
                <w:sz w:val="20"/>
                <w:highlight w:val="none"/>
                <w:u w:color="auto"/>
              </w:rPr>
              <w:t>南宁市红十字会备灾救灾服务中心</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决算数</w:t>
            </w:r>
          </w:p>
        </w:tc>
      </w:tr>
      <w:tr>
        <w:tblPrEx>
          <w:tblCellMar>
            <w:top w:w="0" w:type="dxa"/>
            <w:left w:w="108" w:type="dxa"/>
            <w:bottom w:w="0" w:type="dxa"/>
            <w:right w:w="108" w:type="dxa"/>
          </w:tblCellMar>
        </w:tblPrEx>
        <w:trPr>
          <w:trHeight w:val="1442"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48.42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4.57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30101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10.91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1.84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30102</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0.64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30103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0.30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30106</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30107</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21.96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30108</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4.63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30109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2.34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0.28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30110</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30111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2.08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30112</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0.24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0.15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30113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30114</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30199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30301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30302</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30303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30304</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30305</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30306</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30307</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30308</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0.67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30309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0.15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30310</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30311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0.15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30399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1.33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人员经费合计</w:t>
            </w:r>
          </w:p>
          <w:bookmarkEnd w:id="0"/>
          <w:bookmarkEnd w:id="1"/>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48.42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4.57</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注：本表反映部门本年度一般公共预算财政拨款基本支出明细情况。</w:t>
            </w:r>
          </w:p>
        </w:tc>
      </w:tr>
    </w:tbl>
    <w:p>
      <w:pPr>
        <w:jc w:val="left"/>
        <w:rPr>
          <w:rFonts w:hint="eastAsia" w:ascii="方正仿宋_GB2312" w:hAnsi="方正仿宋_GB2312" w:eastAsia="方正仿宋_GB2312" w:cs="方正仿宋_GB2312"/>
          <w:color w:val="auto"/>
          <w:sz w:val="24"/>
          <w:highlight w:val="none"/>
        </w:rPr>
      </w:pPr>
    </w:p>
    <w:p>
      <w:pP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br w:type="page"/>
      </w:r>
    </w:p>
    <w:p>
      <w:pPr>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表</w:t>
      </w:r>
      <w:r>
        <w:rPr>
          <w:rFonts w:hint="eastAsia" w:ascii="方正仿宋_GB2312" w:hAnsi="方正仿宋_GB2312" w:eastAsia="方正仿宋_GB2312" w:cs="方正仿宋_GB2312"/>
          <w:color w:val="auto"/>
          <w:sz w:val="24"/>
          <w:highlight w:val="none"/>
          <w:lang w:val="en-US" w:eastAsia="zh-CN"/>
        </w:rPr>
        <w:t>七</w:t>
      </w:r>
      <w:r>
        <w:rPr>
          <w:rFonts w:hint="eastAsia" w:ascii="方正仿宋_GB2312" w:hAnsi="方正仿宋_GB2312" w:eastAsia="方正仿宋_GB2312" w:cs="方正仿宋_GB2312"/>
          <w:color w:val="auto"/>
          <w:sz w:val="24"/>
          <w:highlight w:val="none"/>
        </w:rPr>
        <w:t>：政府性基金预算财政拨款收入支出决算表</w:t>
      </w:r>
    </w:p>
    <w:tbl>
      <w:tblPr>
        <w:tblStyle w:val="3"/>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公开0</w:t>
            </w:r>
            <w:r>
              <w:rPr>
                <w:rFonts w:hint="eastAsia" w:ascii="方正仿宋_GB2312" w:hAnsi="方正仿宋_GB2312" w:eastAsia="方正仿宋_GB2312" w:cs="方正仿宋_GB2312"/>
                <w:color w:val="auto"/>
                <w:kern w:val="0"/>
                <w:sz w:val="20"/>
                <w:szCs w:val="20"/>
                <w:highlight w:val="none"/>
                <w:lang w:val="en-US" w:eastAsia="zh-CN" w:bidi="ar"/>
              </w:rPr>
              <w:t>7</w:t>
            </w:r>
            <w:r>
              <w:rPr>
                <w:rFonts w:hint="eastAsia" w:ascii="方正仿宋_GB2312" w:hAnsi="方正仿宋_GB2312" w:eastAsia="方正仿宋_GB2312" w:cs="方正仿宋_GB2312"/>
                <w:color w:val="auto"/>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部门：</w:t>
            </w:r>
            <w:r>
              <w:rPr>
                <w:rFonts w:ascii="方正仿宋_GB2312" w:hAnsi="方正仿宋_GB2312" w:eastAsia="方正仿宋_GB2312" w:cs="方正仿宋_GB2312"/>
                <w:color w:val="auto"/>
                <w:sz w:val="20"/>
                <w:highlight w:val="none"/>
                <w:u w:color="auto"/>
              </w:rPr>
              <w:t>南宁市红十字会备灾救灾服务中心</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注：本表反映部门本年度政府性基金预算财政拨款收入、支出及结转和结余情况。</w:t>
            </w:r>
          </w:p>
          <w:p>
            <w:pPr>
              <w:pStyle w:val="2"/>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2"/>
                <w:sz w:val="21"/>
                <w:szCs w:val="21"/>
                <w:highlight w:val="none"/>
                <w:lang w:val="en-US" w:eastAsia="zh-CN" w:bidi="ar"/>
              </w:rPr>
              <w:t>本部门2022年度没有政府性基金预算财政拨款收入，也没有政府性基金预算财政拨款安排的支出，故本表无数据</w:t>
            </w:r>
          </w:p>
        </w:tc>
      </w:tr>
    </w:tbl>
    <w:p>
      <w:pP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br w:type="page"/>
      </w:r>
    </w:p>
    <w:p>
      <w:pPr>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表</w:t>
      </w:r>
      <w:r>
        <w:rPr>
          <w:rFonts w:hint="eastAsia" w:ascii="方正仿宋_GB2312" w:hAnsi="方正仿宋_GB2312" w:eastAsia="方正仿宋_GB2312" w:cs="方正仿宋_GB2312"/>
          <w:color w:val="auto"/>
          <w:sz w:val="24"/>
          <w:highlight w:val="none"/>
          <w:lang w:val="en-US" w:eastAsia="zh-CN"/>
        </w:rPr>
        <w:t>八</w:t>
      </w:r>
      <w:r>
        <w:rPr>
          <w:rFonts w:hint="eastAsia" w:ascii="方正仿宋_GB2312" w:hAnsi="方正仿宋_GB2312" w:eastAsia="方正仿宋_GB2312" w:cs="方正仿宋_GB2312"/>
          <w:color w:val="auto"/>
          <w:sz w:val="24"/>
          <w:highlight w:val="none"/>
        </w:rPr>
        <w:t>：国有资本经营预算财政拨款支出决算表</w:t>
      </w:r>
    </w:p>
    <w:tbl>
      <w:tblPr>
        <w:tblStyle w:val="3"/>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公开0</w:t>
            </w:r>
            <w:r>
              <w:rPr>
                <w:rFonts w:hint="eastAsia" w:ascii="方正仿宋_GB2312" w:hAnsi="方正仿宋_GB2312" w:eastAsia="方正仿宋_GB2312" w:cs="方正仿宋_GB2312"/>
                <w:color w:val="auto"/>
                <w:kern w:val="0"/>
                <w:sz w:val="20"/>
                <w:szCs w:val="20"/>
                <w:highlight w:val="none"/>
                <w:lang w:val="en-US" w:eastAsia="zh-CN" w:bidi="ar"/>
              </w:rPr>
              <w:t>8</w:t>
            </w:r>
            <w:r>
              <w:rPr>
                <w:rFonts w:hint="eastAsia" w:ascii="方正仿宋_GB2312" w:hAnsi="方正仿宋_GB2312" w:eastAsia="方正仿宋_GB2312" w:cs="方正仿宋_GB2312"/>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部门：</w:t>
            </w:r>
            <w:r>
              <w:rPr>
                <w:rFonts w:ascii="方正仿宋_GB2312" w:hAnsi="方正仿宋_GB2312" w:eastAsia="方正仿宋_GB2312" w:cs="方正仿宋_GB2312"/>
                <w:color w:val="auto"/>
                <w:sz w:val="20"/>
                <w:highlight w:val="none"/>
                <w:u w:color="auto"/>
              </w:rPr>
              <w:t>南宁市红十字会备灾救灾服务中心</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auto"/>
                <w:sz w:val="22"/>
                <w:szCs w:val="22"/>
                <w:highlight w:val="none"/>
              </w:rPr>
            </w:pPr>
            <w:r>
              <w:rPr>
                <w:rFonts w:hint="eastAsia" w:ascii="方正仿宋_GB2312" w:hAnsi="方正仿宋_GB2312" w:eastAsia="方正仿宋_GB2312" w:cs="方正仿宋_GB2312"/>
                <w:b/>
                <w:bCs/>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注：本表反映部门本年度国有资本经营预算财政拨款支出情况。</w:t>
      </w:r>
    </w:p>
    <w:p>
      <w:pPr>
        <w:pStyle w:val="2"/>
        <w:rPr>
          <w:rFonts w:hint="eastAsia"/>
          <w:color w:val="auto"/>
          <w:highlight w:val="none"/>
        </w:rPr>
      </w:pPr>
      <w:r>
        <w:rPr>
          <w:rFonts w:hint="eastAsia" w:ascii="方正仿宋_GB2312" w:hAnsi="方正仿宋_GB2312" w:eastAsia="方正仿宋_GB2312" w:cs="方正仿宋_GB2312"/>
          <w:color w:val="auto"/>
          <w:kern w:val="2"/>
          <w:sz w:val="21"/>
          <w:szCs w:val="21"/>
          <w:highlight w:val="none"/>
          <w:lang w:val="en-US" w:eastAsia="zh-CN" w:bidi="ar"/>
        </w:rPr>
        <w:t>本部门2022年度没有国有资本经营预算财政拨款收入，也没有国有资本经营预算财政拨款安排的支出，故本表无数据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br w:type="page"/>
      </w:r>
    </w:p>
    <w:tbl>
      <w:tblPr>
        <w:tblStyle w:val="3"/>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auto"/>
                <w:kern w:val="0"/>
                <w:sz w:val="30"/>
                <w:szCs w:val="30"/>
                <w:highlight w:val="none"/>
                <w:lang w:bidi="ar"/>
              </w:rPr>
            </w:pPr>
            <w:r>
              <w:rPr>
                <w:rFonts w:hint="eastAsia" w:ascii="方正仿宋_GB2312" w:hAnsi="方正仿宋_GB2312" w:eastAsia="方正仿宋_GB2312" w:cs="方正仿宋_GB2312"/>
                <w:color w:val="auto"/>
                <w:sz w:val="24"/>
                <w:highlight w:val="none"/>
                <w:lang w:val="en-US" w:eastAsia="zh-CN"/>
              </w:rPr>
              <w:t>表九：</w:t>
            </w:r>
            <w:r>
              <w:rPr>
                <w:rFonts w:hint="eastAsia" w:ascii="方正仿宋_GB2312" w:hAnsi="方正仿宋_GB2312" w:eastAsia="方正仿宋_GB2312" w:cs="方正仿宋_GB2312"/>
                <w:color w:val="auto"/>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公开</w:t>
            </w:r>
            <w:r>
              <w:rPr>
                <w:rFonts w:hint="eastAsia" w:ascii="方正仿宋_GB2312" w:hAnsi="方正仿宋_GB2312" w:eastAsia="方正仿宋_GB2312" w:cs="方正仿宋_GB2312"/>
                <w:color w:val="auto"/>
                <w:kern w:val="0"/>
                <w:sz w:val="20"/>
                <w:szCs w:val="20"/>
                <w:highlight w:val="none"/>
                <w:lang w:val="en-US" w:eastAsia="zh-CN" w:bidi="ar"/>
              </w:rPr>
              <w:t>09</w:t>
            </w:r>
            <w:r>
              <w:rPr>
                <w:rFonts w:hint="eastAsia" w:ascii="方正仿宋_GB2312" w:hAnsi="方正仿宋_GB2312" w:eastAsia="方正仿宋_GB2312" w:cs="方正仿宋_GB2312"/>
                <w:color w:val="auto"/>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部门：</w:t>
            </w:r>
            <w:r>
              <w:rPr>
                <w:rFonts w:ascii="方正仿宋_GB2312" w:hAnsi="方正仿宋_GB2312" w:eastAsia="方正仿宋_GB2312" w:cs="方正仿宋_GB2312"/>
                <w:color w:val="auto"/>
                <w:sz w:val="20"/>
                <w:highlight w:val="none"/>
                <w:u w:color="auto"/>
              </w:rPr>
              <w:t>南宁市红十字会备灾救灾服务中心</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auto"/>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方正仿宋_GB2312" w:hAnsi="方正仿宋_GB2312" w:eastAsia="方正仿宋_GB2312" w:cs="方正仿宋_GB2312"/>
                <w:color w:val="auto"/>
                <w:kern w:val="0"/>
                <w:sz w:val="22"/>
                <w:szCs w:val="22"/>
                <w:highlight w:val="none"/>
                <w:lang w:val="en-US" w:eastAsia="zh-CN" w:bidi="ar"/>
              </w:rPr>
            </w:pPr>
            <w:r>
              <w:rPr>
                <w:rFonts w:hint="eastAsia" w:ascii="方正仿宋_GB2312" w:hAnsi="方正仿宋_GB2312" w:eastAsia="方正仿宋_GB2312" w:cs="方正仿宋_GB2312"/>
                <w:color w:val="auto"/>
                <w:kern w:val="0"/>
                <w:sz w:val="22"/>
                <w:szCs w:val="22"/>
                <w:highlight w:val="none"/>
                <w:lang w:val="en-US" w:eastAsia="zh-CN" w:bidi="ar"/>
              </w:rPr>
              <w:t>0.50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方正仿宋_GB2312" w:hAnsi="方正仿宋_GB2312" w:eastAsia="方正仿宋_GB2312" w:cs="方正仿宋_GB2312"/>
                <w:color w:val="auto"/>
                <w:kern w:val="0"/>
                <w:sz w:val="22"/>
                <w:szCs w:val="22"/>
                <w:highlight w:val="none"/>
                <w:lang w:val="en-US" w:eastAsia="zh-CN" w:bidi="ar"/>
              </w:rPr>
            </w:pPr>
            <w:r>
              <w:rPr>
                <w:rFonts w:hint="eastAsia" w:ascii="方正仿宋_GB2312" w:hAnsi="方正仿宋_GB2312" w:eastAsia="方正仿宋_GB2312" w:cs="方正仿宋_GB2312"/>
                <w:color w:val="auto"/>
                <w:kern w:val="0"/>
                <w:sz w:val="22"/>
                <w:szCs w:val="22"/>
                <w:highlight w:val="none"/>
                <w:lang w:val="en-US" w:eastAsia="zh-CN" w:bidi="ar"/>
              </w:rPr>
              <w:t>0.50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注：本表反映部门本年度“三公”经费支出预决算情况。其中，预算数为“三公”经费全年预算数，反映按规定程序调整后的预算数；决算数是包括当年财政拨款和以前年度结转资金安排的实际支出。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mY3OTEwMjIyNWEwOTU0YzU3MmEwOGE1NzMyMTYifQ=="/>
  </w:docVars>
  <w:rsids>
    <w:rsidRoot w:val="17254630"/>
    <w:rsid w:val="1725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60" w:lineRule="auto"/>
      <w:ind w:firstLine="668" w:firstLineChars="199"/>
    </w:pPr>
    <w:rPr>
      <w:rFonts w:ascii="仿宋_GB2312" w:eastAsia="仿宋_GB2312"/>
      <w:spacing w:val="6"/>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2023-11-23T08:59:00Z</dcterms:created>
  <dc:creator>牛腩女士</dc:creator>
  <cp:lastModifiedBy>牛腩女士</cp:lastModifiedBy>
  <dcterms:modified xsi:type="dcterms:W3CDTF">2023-11-23T09:02:07Z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11770E0CF89D4E3AB237DE6D177E759C_11</vt:lpwstr>
  </property>
</Properties>
</file>