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2" w:name="_GoBack"/>
      <w:r>
        <w:rPr>
          <w:rFonts w:hint="eastAsia" w:ascii="黑体" w:hAnsi="黑体" w:eastAsia="黑体"/>
          <w:bCs/>
          <w:color w:val="000000"/>
          <w:sz w:val="32"/>
          <w:szCs w:val="32"/>
          <w:u w:val="none"/>
        </w:rPr>
        <w:t>南宁市红十字会</w:t>
      </w:r>
      <w:r>
        <w:rPr>
          <w:rFonts w:hint="eastAsia" w:ascii="黑体" w:hAnsi="黑体" w:eastAsia="黑体"/>
          <w:sz w:val="32"/>
          <w:szCs w:val="32"/>
        </w:rPr>
        <w:t>2022年度部门决算报表</w:t>
      </w:r>
    </w:p>
    <w:bookmarkEnd w:id="2"/>
    <w:tbl>
      <w:tblPr>
        <w:tblStyle w:val="3"/>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785.41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r>
    </w:tbl>
    <w:p>
      <w:pPr>
        <w:autoSpaceDE w:val="0"/>
        <w:autoSpaceDN w:val="0"/>
        <w:adjustRightInd w:val="0"/>
        <w:ind w:firstLine="440" w:firstLineChars="200"/>
        <w:jc w:val="left"/>
        <w:rPr>
          <w:rFonts w:hint="eastAsia" w:ascii="方正仿宋_GB2312" w:hAnsi="方正仿宋_GB2312" w:eastAsia="方正仿宋_GB2312" w:cs="方正仿宋_GB2312"/>
          <w:color w:val="000000"/>
          <w:kern w:val="0"/>
          <w:sz w:val="22"/>
          <w:szCs w:val="22"/>
        </w:rPr>
      </w:pPr>
      <w:r>
        <w:rPr>
          <w:rFonts w:hint="eastAsia" w:ascii="方正仿宋_GB2312" w:hAnsi="方正仿宋_GB2312" w:eastAsia="方正仿宋_GB2312" w:cs="方正仿宋_GB2312"/>
          <w:color w:val="000000"/>
          <w:kern w:val="0"/>
          <w:sz w:val="22"/>
          <w:szCs w:val="22"/>
        </w:rPr>
        <w:t>注：1.本表反映部门本年度的总收支和年末结转结余情况。</w:t>
      </w:r>
      <w:r>
        <w:rPr>
          <w:rFonts w:hint="eastAsia" w:ascii="方正仿宋_GB2312" w:hAnsi="方正仿宋_GB2312" w:eastAsia="方正仿宋_GB2312" w:cs="方正仿宋_GB2312"/>
          <w:color w:val="000000"/>
          <w:kern w:val="0"/>
          <w:sz w:val="22"/>
          <w:szCs w:val="22"/>
        </w:rPr>
        <w:tab/>
      </w:r>
      <w:r>
        <w:rPr>
          <w:rFonts w:hint="eastAsia" w:ascii="方正仿宋_GB2312" w:hAnsi="方正仿宋_GB2312" w:eastAsia="方正仿宋_GB2312" w:cs="方正仿宋_GB2312"/>
          <w:color w:val="000000"/>
          <w:kern w:val="0"/>
          <w:sz w:val="22"/>
          <w:szCs w:val="22"/>
        </w:rPr>
        <w:tab/>
      </w:r>
      <w:r>
        <w:rPr>
          <w:rFonts w:hint="eastAsia" w:ascii="方正仿宋_GB2312" w:hAnsi="方正仿宋_GB2312" w:eastAsia="方正仿宋_GB2312" w:cs="方正仿宋_GB2312"/>
          <w:color w:val="000000"/>
          <w:kern w:val="0"/>
          <w:sz w:val="22"/>
          <w:szCs w:val="22"/>
        </w:rPr>
        <w:tab/>
      </w:r>
      <w:r>
        <w:rPr>
          <w:rFonts w:hint="eastAsia" w:ascii="方正仿宋_GB2312" w:hAnsi="方正仿宋_GB2312" w:eastAsia="方正仿宋_GB2312" w:cs="方正仿宋_GB2312"/>
          <w:color w:val="000000"/>
          <w:kern w:val="0"/>
          <w:sz w:val="22"/>
          <w:szCs w:val="22"/>
        </w:rPr>
        <w:tab/>
      </w:r>
      <w:r>
        <w:rPr>
          <w:rFonts w:hint="eastAsia" w:ascii="方正仿宋_GB2312" w:hAnsi="方正仿宋_GB2312" w:eastAsia="方正仿宋_GB2312" w:cs="方正仿宋_GB2312"/>
          <w:color w:val="000000"/>
          <w:kern w:val="0"/>
          <w:sz w:val="22"/>
          <w:szCs w:val="22"/>
        </w:rPr>
        <w:tab/>
      </w:r>
    </w:p>
    <w:p>
      <w:pPr>
        <w:autoSpaceDE w:val="0"/>
        <w:autoSpaceDN w:val="0"/>
        <w:adjustRightInd w:val="0"/>
        <w:ind w:firstLine="4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22"/>
          <w:szCs w:val="22"/>
        </w:rPr>
        <w:t xml:space="preserve">    2.本套报表金额单位转换时可能存在尾数误差。</w:t>
      </w:r>
      <w:r>
        <w:rPr>
          <w:rFonts w:hint="eastAsia" w:ascii="方正仿宋_GB2312" w:hAnsi="方正仿宋_GB2312" w:eastAsia="方正仿宋_GB2312" w:cs="方正仿宋_GB2312"/>
          <w:color w:val="000000"/>
          <w:kern w:val="0"/>
          <w:sz w:val="32"/>
          <w:szCs w:val="32"/>
        </w:rPr>
        <w:tab/>
      </w:r>
    </w:p>
    <w:p>
      <w:pPr>
        <w:rPr>
          <w:rFonts w:hint="eastAsia" w:ascii="方正仿宋_GB2312" w:hAnsi="方正仿宋_GB2312" w:eastAsia="方正仿宋_GB2312" w:cs="方正仿宋_GB2312"/>
          <w:color w:val="000000"/>
          <w:kern w:val="0"/>
          <w:sz w:val="30"/>
          <w:szCs w:val="30"/>
          <w:highlight w:val="none"/>
          <w:lang w:bidi="ar"/>
        </w:rPr>
      </w:pPr>
      <w:r>
        <w:rPr>
          <w:rFonts w:hint="eastAsia" w:ascii="方正仿宋_GB2312" w:hAnsi="方正仿宋_GB2312" w:eastAsia="方正仿宋_GB2312" w:cs="方正仿宋_GB2312"/>
          <w:color w:val="000000"/>
          <w:kern w:val="0"/>
          <w:sz w:val="32"/>
          <w:szCs w:val="32"/>
        </w:rPr>
        <w:br w:type="page"/>
      </w:r>
    </w:p>
    <w:tbl>
      <w:tblPr>
        <w:tblStyle w:val="3"/>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863.03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863.03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785.41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785.41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行政单位离退休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5.65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5.65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43.59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43.59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机关事业单位职业年金缴费支出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红十字事业</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714.32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714.32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245.31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245.31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一般行政管理事务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162.38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162.38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其他红十字事业支出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306.63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306.63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行政单位医疗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12.72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12.72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公务员医疗补助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27.20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27.20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其他行政事业单位医疗支出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0.24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0.24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注：本表反映部门本年度取得的各项收入情况。</w:t>
            </w:r>
          </w:p>
        </w:tc>
      </w:tr>
    </w:tbl>
    <w:p>
      <w:pPr>
        <w:jc w:val="center"/>
        <w:rPr>
          <w:rFonts w:hint="eastAsia" w:ascii="方正仿宋_GB2312" w:hAnsi="方正仿宋_GB2312" w:eastAsia="方正仿宋_GB2312" w:cs="方正仿宋_GB2312"/>
          <w:sz w:val="24"/>
          <w:highlight w:val="none"/>
        </w:rPr>
      </w:pPr>
    </w:p>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表三：支出决算表</w:t>
      </w:r>
    </w:p>
    <w:tbl>
      <w:tblPr>
        <w:tblStyle w:val="3"/>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863.03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496.69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366.35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785.41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419.07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366.35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71.09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行政单位离退休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5.65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5.65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43.59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43.59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2080506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机关事业单位职业年金缴费支出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21.85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红十字事业</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714.32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347.98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366.35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245.31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245.31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一般行政管理事务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162.38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162.38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2081699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其他红十字事业支出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306.63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102.67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203.96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行政单位医疗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12.72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12.72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公务员医疗补助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27.20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27.20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2101199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其他行政事业单位医疗支出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注：本表反映部门本年度各项支出情况。</w:t>
            </w:r>
          </w:p>
        </w:tc>
      </w:tr>
    </w:tbl>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表四：财政拨款收入支出决算总表</w:t>
      </w:r>
    </w:p>
    <w:tbl>
      <w:tblPr>
        <w:tblStyle w:val="3"/>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785.41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785.41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44.93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32.69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863.03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注：本表反映部门本年度一般公共预算财政拨款、政府性基金预算财政拨款和国有资本经营预算财政拨款的总收支和年末结转结余情况。</w:t>
            </w: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0"/>
                <w:szCs w:val="20"/>
                <w:highlight w:val="none"/>
              </w:rPr>
            </w:pPr>
          </w:p>
        </w:tc>
      </w:tr>
    </w:tbl>
    <w:p>
      <w:pPr>
        <w:jc w:val="left"/>
        <w:rPr>
          <w:rFonts w:hint="eastAsia" w:ascii="方正仿宋_GB2312" w:hAnsi="方正仿宋_GB2312" w:eastAsia="方正仿宋_GB2312" w:cs="方正仿宋_GB2312"/>
          <w:sz w:val="24"/>
          <w:highlight w:val="none"/>
        </w:rPr>
      </w:pPr>
    </w:p>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表五：一般公共预算财政拨款支出决算表</w:t>
      </w:r>
    </w:p>
    <w:tbl>
      <w:tblPr>
        <w:tblStyle w:val="3"/>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12"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863.03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496.69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366.35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785.41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419.07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366.35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71.09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71.09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2080501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行政单位离退休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5.65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5.65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43.59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43.59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2080506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机关事业单位职业年金缴费支出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21.85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21.85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20816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红十字事业</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714.32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347.98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366.35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2081601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245.31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245.31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2081602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一般行政管理事务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162.38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162.38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2081699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其他红十字事业支出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306.63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102.67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203.96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44.93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44.93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44.93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44.93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2101101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行政单位医疗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12.72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12.72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2101103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公务员医疗补助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27.20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27.20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2101199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其他行政事业单位医疗支出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0.24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0.24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32.69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32.69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32.69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注：本表反映部门本年度一般公共预算财政拨款支出情况。</w:t>
            </w:r>
          </w:p>
        </w:tc>
      </w:tr>
    </w:tbl>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表六：一般公共预算财政拨款基本支出决算表</w:t>
      </w:r>
    </w:p>
    <w:tbl>
      <w:tblPr>
        <w:tblStyle w:val="3"/>
        <w:tblW w:w="14000" w:type="dxa"/>
        <w:tblInd w:w="96" w:type="dxa"/>
        <w:tblLayout w:type="fixed"/>
        <w:tblCellMar>
          <w:top w:w="0" w:type="dxa"/>
          <w:left w:w="108" w:type="dxa"/>
          <w:bottom w:w="0" w:type="dxa"/>
          <w:right w:w="108" w:type="dxa"/>
        </w:tblCellMar>
      </w:tblPr>
      <w:tblGrid>
        <w:gridCol w:w="1762"/>
        <w:gridCol w:w="1716"/>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76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决算数</w:t>
            </w:r>
          </w:p>
        </w:tc>
      </w:tr>
      <w:tr>
        <w:tblPrEx>
          <w:tblCellMar>
            <w:top w:w="0" w:type="dxa"/>
            <w:left w:w="108" w:type="dxa"/>
            <w:bottom w:w="0" w:type="dxa"/>
            <w:right w:w="108" w:type="dxa"/>
          </w:tblCellMar>
        </w:tblPrEx>
        <w:trPr>
          <w:trHeight w:val="1442" w:hRule="atLeast"/>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432.23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58.81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101.73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9.90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30102</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69.03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60.92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30106</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30107</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56.43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30108</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43.59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30109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21.85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5.60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30110</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17.49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27.20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30112</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1.30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32.69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30114</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0.43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30199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5.65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0.11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0.10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30302</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5.65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30303</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30304</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30305</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30306</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30307</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30308</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5.54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30309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1.20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30310</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4.14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30311</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15.20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30399</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13.43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7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人员经费合计</w:t>
            </w:r>
          </w:p>
          <w:bookmarkEnd w:id="0"/>
          <w:bookmarkEnd w:id="1"/>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437.87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58.81</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注：本表反映部门本年度一般公共预算财政拨款基本支出明细情况。</w:t>
            </w:r>
          </w:p>
        </w:tc>
      </w:tr>
    </w:tbl>
    <w:p>
      <w:pPr>
        <w:jc w:val="left"/>
        <w:rPr>
          <w:rFonts w:hint="eastAsia" w:ascii="方正仿宋_GB2312" w:hAnsi="方正仿宋_GB2312" w:eastAsia="方正仿宋_GB2312" w:cs="方正仿宋_GB2312"/>
          <w:sz w:val="24"/>
          <w:highlight w:val="none"/>
        </w:rPr>
      </w:pPr>
    </w:p>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w:t>
      </w:r>
      <w:r>
        <w:rPr>
          <w:rFonts w:hint="eastAsia" w:ascii="方正仿宋_GB2312" w:hAnsi="方正仿宋_GB2312" w:eastAsia="方正仿宋_GB2312" w:cs="方正仿宋_GB2312"/>
          <w:sz w:val="24"/>
          <w:highlight w:val="none"/>
          <w:lang w:val="en-US" w:eastAsia="zh-CN"/>
        </w:rPr>
        <w:t>七</w:t>
      </w:r>
      <w:r>
        <w:rPr>
          <w:rFonts w:hint="eastAsia" w:ascii="方正仿宋_GB2312" w:hAnsi="方正仿宋_GB2312" w:eastAsia="方正仿宋_GB2312" w:cs="方正仿宋_GB2312"/>
          <w:sz w:val="24"/>
          <w:highlight w:val="none"/>
        </w:rPr>
        <w:t>：政府性基金预算财政拨款收入支出决算表</w:t>
      </w:r>
    </w:p>
    <w:tbl>
      <w:tblPr>
        <w:tblStyle w:val="3"/>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w:t>
            </w:r>
            <w:r>
              <w:rPr>
                <w:rFonts w:hint="eastAsia" w:ascii="方正仿宋_GB2312" w:hAnsi="方正仿宋_GB2312" w:eastAsia="方正仿宋_GB2312" w:cs="方正仿宋_GB2312"/>
                <w:color w:val="000000"/>
                <w:kern w:val="0"/>
                <w:sz w:val="20"/>
                <w:szCs w:val="20"/>
                <w:highlight w:val="none"/>
                <w:lang w:val="en-US" w:eastAsia="zh-CN" w:bidi="ar"/>
              </w:rPr>
              <w:t>7</w:t>
            </w:r>
            <w:r>
              <w:rPr>
                <w:rFonts w:hint="eastAsia" w:ascii="方正仿宋_GB2312" w:hAnsi="方正仿宋_GB2312" w:eastAsia="方正仿宋_GB2312" w:cs="方正仿宋_GB2312"/>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auto"/>
                <w:kern w:val="2"/>
                <w:sz w:val="21"/>
                <w:szCs w:val="21"/>
                <w:lang w:val="en-US" w:eastAsia="zh-CN" w:bidi="ar"/>
              </w:rPr>
              <w:t>本部门2022年度没有政府性基金预算财政拨款收入，也没有政府性基金预算财政拨款安排的支出，故本表无数据。</w:t>
            </w:r>
          </w:p>
        </w:tc>
      </w:tr>
    </w:tbl>
    <w:p>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表</w:t>
      </w:r>
      <w:r>
        <w:rPr>
          <w:rFonts w:hint="eastAsia" w:ascii="方正仿宋_GB2312" w:hAnsi="方正仿宋_GB2312" w:eastAsia="方正仿宋_GB2312" w:cs="方正仿宋_GB2312"/>
          <w:sz w:val="24"/>
          <w:highlight w:val="none"/>
          <w:lang w:val="en-US" w:eastAsia="zh-CN"/>
        </w:rPr>
        <w:t>八</w:t>
      </w:r>
      <w:r>
        <w:rPr>
          <w:rFonts w:hint="eastAsia" w:ascii="方正仿宋_GB2312" w:hAnsi="方正仿宋_GB2312" w:eastAsia="方正仿宋_GB2312" w:cs="方正仿宋_GB2312"/>
          <w:sz w:val="24"/>
          <w:highlight w:val="none"/>
        </w:rPr>
        <w:t>：国有资本经营预算财政拨款支出决算表</w:t>
      </w:r>
    </w:p>
    <w:tbl>
      <w:tblPr>
        <w:tblStyle w:val="3"/>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公开0</w:t>
            </w:r>
            <w:r>
              <w:rPr>
                <w:rFonts w:hint="eastAsia" w:ascii="方正仿宋_GB2312" w:hAnsi="方正仿宋_GB2312" w:eastAsia="方正仿宋_GB2312" w:cs="方正仿宋_GB2312"/>
                <w:color w:val="000000"/>
                <w:kern w:val="0"/>
                <w:sz w:val="20"/>
                <w:szCs w:val="20"/>
                <w:highlight w:val="none"/>
                <w:lang w:val="en-US" w:eastAsia="zh-CN" w:bidi="ar"/>
              </w:rPr>
              <w:t>8</w:t>
            </w:r>
            <w:r>
              <w:rPr>
                <w:rFonts w:hint="eastAsia" w:ascii="方正仿宋_GB2312" w:hAnsi="方正仿宋_GB2312" w:eastAsia="方正仿宋_GB2312" w:cs="方正仿宋_GB2312"/>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84"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b/>
                <w:bCs/>
                <w:color w:val="000000"/>
                <w:sz w:val="22"/>
                <w:szCs w:val="22"/>
                <w:highlight w:val="none"/>
              </w:rPr>
            </w:pPr>
            <w:r>
              <w:rPr>
                <w:rFonts w:hint="eastAsia" w:ascii="方正仿宋_GB2312" w:hAnsi="方正仿宋_GB2312" w:eastAsia="方正仿宋_GB2312" w:cs="方正仿宋_GB2312"/>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auto"/>
          <w:kern w:val="2"/>
          <w:sz w:val="21"/>
          <w:szCs w:val="21"/>
          <w:lang w:val="en-US" w:eastAsia="zh-CN" w:bidi="ar"/>
        </w:rPr>
        <w:t>本部门2022年度没有国有资本经营预算财政拨款收入，也没有国有资本经营预算财政拨款安排的支出，故本表无数据。</w:t>
      </w:r>
      <w:r>
        <w:rPr>
          <w:rFonts w:hint="eastAsia" w:ascii="方正仿宋_GB2312" w:hAnsi="方正仿宋_GB2312" w:eastAsia="方正仿宋_GB2312" w:cs="方正仿宋_GB2312"/>
          <w:color w:val="000000"/>
          <w:kern w:val="0"/>
          <w:sz w:val="22"/>
          <w:szCs w:val="22"/>
          <w:highlight w:val="none"/>
          <w:lang w:bidi="ar"/>
        </w:rPr>
        <w:br w:type="page"/>
      </w:r>
    </w:p>
    <w:tbl>
      <w:tblPr>
        <w:tblStyle w:val="3"/>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方正仿宋_GB2312" w:hAnsi="方正仿宋_GB2312" w:eastAsia="方正仿宋_GB2312" w:cs="方正仿宋_GB2312"/>
                <w:color w:val="000000"/>
                <w:kern w:val="0"/>
                <w:sz w:val="30"/>
                <w:szCs w:val="30"/>
                <w:highlight w:val="none"/>
                <w:lang w:bidi="ar"/>
              </w:rPr>
            </w:pPr>
            <w:r>
              <w:rPr>
                <w:rFonts w:hint="eastAsia" w:ascii="方正仿宋_GB2312" w:hAnsi="方正仿宋_GB2312" w:eastAsia="方正仿宋_GB2312" w:cs="方正仿宋_GB2312"/>
                <w:sz w:val="24"/>
                <w:highlight w:val="none"/>
                <w:lang w:val="en-US" w:eastAsia="zh-CN"/>
              </w:rPr>
              <w:t>表九：</w:t>
            </w:r>
            <w:r>
              <w:rPr>
                <w:rFonts w:hint="eastAsia" w:ascii="方正仿宋_GB2312" w:hAnsi="方正仿宋_GB2312" w:eastAsia="方正仿宋_GB2312" w:cs="方正仿宋_GB2312"/>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公开</w:t>
            </w:r>
            <w:r>
              <w:rPr>
                <w:rFonts w:hint="eastAsia" w:ascii="方正仿宋_GB2312" w:hAnsi="方正仿宋_GB2312" w:eastAsia="方正仿宋_GB2312" w:cs="方正仿宋_GB2312"/>
                <w:color w:val="000000"/>
                <w:kern w:val="0"/>
                <w:sz w:val="20"/>
                <w:szCs w:val="20"/>
                <w:highlight w:val="none"/>
                <w:lang w:val="en-US" w:eastAsia="zh-CN" w:bidi="ar"/>
              </w:rPr>
              <w:t>09</w:t>
            </w:r>
            <w:r>
              <w:rPr>
                <w:rFonts w:hint="eastAsia" w:ascii="方正仿宋_GB2312" w:hAnsi="方正仿宋_GB2312" w:eastAsia="方正仿宋_GB2312" w:cs="方正仿宋_GB2312"/>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部门：</w:t>
            </w:r>
            <w:r>
              <w:rPr>
                <w:rFonts w:ascii="方正仿宋_GB2312" w:hAnsi="方正仿宋_GB2312" w:eastAsia="方正仿宋_GB2312" w:cs="方正仿宋_GB2312"/>
                <w:color w:val="000000"/>
                <w:sz w:val="20"/>
                <w:u w:color="auto"/>
              </w:rPr>
              <w:t>南宁市红十字会</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方正仿宋_GB2312" w:hAnsi="方正仿宋_GB2312" w:eastAsia="方正仿宋_GB2312" w:cs="方正仿宋_GB2312"/>
                <w:color w:val="000000"/>
                <w:sz w:val="20"/>
                <w:szCs w:val="20"/>
                <w:highlight w:val="none"/>
              </w:rPr>
            </w:pPr>
            <w:r>
              <w:rPr>
                <w:rFonts w:hint="eastAsia" w:ascii="方正仿宋_GB2312" w:hAnsi="方正仿宋_GB2312" w:eastAsia="方正仿宋_GB2312" w:cs="方正仿宋_GB2312"/>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方正仿宋_GB2312" w:hAnsi="方正仿宋_GB2312" w:eastAsia="方正仿宋_GB2312" w:cs="方正仿宋_GB2312"/>
                <w:color w:val="000000"/>
                <w:kern w:val="0"/>
                <w:sz w:val="22"/>
                <w:szCs w:val="22"/>
                <w:highlight w:val="none"/>
                <w:lang w:val="en-US" w:eastAsia="zh-CN" w:bidi="ar"/>
              </w:rPr>
            </w:pPr>
            <w:r>
              <w:rPr>
                <w:rFonts w:hint="eastAsia" w:ascii="方正仿宋_GB2312" w:hAnsi="方正仿宋_GB2312" w:eastAsia="方正仿宋_GB2312" w:cs="方正仿宋_GB2312"/>
                <w:color w:val="000000"/>
                <w:kern w:val="0"/>
                <w:sz w:val="22"/>
                <w:szCs w:val="22"/>
                <w:highlight w:val="none"/>
                <w:lang w:val="en-US" w:eastAsia="zh-CN" w:bidi="ar"/>
              </w:rPr>
              <w:t>6.80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方正仿宋_GB2312" w:hAnsi="方正仿宋_GB2312" w:eastAsia="方正仿宋_GB2312" w:cs="方正仿宋_GB2312"/>
                <w:color w:val="000000"/>
                <w:sz w:val="22"/>
                <w:szCs w:val="22"/>
                <w:highlight w:val="none"/>
                <w:lang w:val="en-US" w:eastAsia="zh-CN"/>
              </w:rPr>
            </w:pPr>
            <w:r>
              <w:rPr>
                <w:rFonts w:hint="eastAsia" w:ascii="方正仿宋_GB2312" w:hAnsi="方正仿宋_GB2312" w:eastAsia="方正仿宋_GB2312" w:cs="方正仿宋_GB2312"/>
                <w:color w:val="000000"/>
                <w:sz w:val="22"/>
                <w:szCs w:val="22"/>
                <w:highlight w:val="none"/>
                <w:lang w:val="en-US" w:eastAsia="zh-CN"/>
              </w:rPr>
              <w:t>4.80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方正仿宋_GB2312" w:hAnsi="方正仿宋_GB2312" w:eastAsia="方正仿宋_GB2312" w:cs="方正仿宋_GB2312"/>
                <w:color w:val="000000"/>
                <w:sz w:val="22"/>
                <w:szCs w:val="22"/>
                <w:highlight w:val="none"/>
                <w:lang w:val="en-US" w:eastAsia="zh-CN"/>
              </w:rPr>
            </w:pPr>
            <w:r>
              <w:rPr>
                <w:rFonts w:hint="eastAsia" w:ascii="方正仿宋_GB2312" w:hAnsi="方正仿宋_GB2312" w:eastAsia="方正仿宋_GB2312" w:cs="方正仿宋_GB2312"/>
                <w:color w:val="000000"/>
                <w:sz w:val="22"/>
                <w:szCs w:val="22"/>
                <w:highlight w:val="none"/>
                <w:lang w:val="en-US" w:eastAsia="zh-CN"/>
              </w:rPr>
              <w:t>4.80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方正仿宋_GB2312" w:hAnsi="方正仿宋_GB2312" w:eastAsia="方正仿宋_GB2312" w:cs="方正仿宋_GB2312"/>
                <w:color w:val="000000"/>
                <w:kern w:val="0"/>
                <w:sz w:val="22"/>
                <w:szCs w:val="22"/>
                <w:highlight w:val="none"/>
                <w:lang w:val="en-US" w:eastAsia="zh-CN" w:bidi="ar"/>
              </w:rPr>
            </w:pPr>
            <w:r>
              <w:rPr>
                <w:rFonts w:hint="eastAsia" w:ascii="方正仿宋_GB2312" w:hAnsi="方正仿宋_GB2312" w:eastAsia="方正仿宋_GB2312" w:cs="方正仿宋_GB2312"/>
                <w:color w:val="000000"/>
                <w:kern w:val="0"/>
                <w:sz w:val="22"/>
                <w:szCs w:val="22"/>
                <w:highlight w:val="none"/>
                <w:lang w:val="en-US" w:eastAsia="zh-CN" w:bidi="ar"/>
              </w:rPr>
              <w:t>2.00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4.14</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4.14</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color w:val="000000"/>
                <w:sz w:val="22"/>
                <w:szCs w:val="22"/>
                <w:highlight w:val="none"/>
              </w:rPr>
            </w:pPr>
            <w:r>
              <w:rPr>
                <w:rFonts w:hint="eastAsia" w:ascii="方正仿宋_GB2312" w:hAnsi="方正仿宋_GB2312" w:eastAsia="方正仿宋_GB2312" w:cs="方正仿宋_GB2312"/>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4.14</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color w:val="000000"/>
                <w:kern w:val="0"/>
                <w:sz w:val="22"/>
                <w:szCs w:val="22"/>
                <w:highlight w:val="none"/>
                <w:lang w:bidi="ar"/>
              </w:rPr>
            </w:pPr>
            <w:r>
              <w:rPr>
                <w:rFonts w:hint="eastAsia" w:ascii="方正仿宋_GB2312" w:hAnsi="方正仿宋_GB2312" w:eastAsia="方正仿宋_GB2312" w:cs="方正仿宋_GB2312"/>
                <w:color w:val="000000"/>
                <w:kern w:val="0"/>
                <w:sz w:val="22"/>
                <w:szCs w:val="22"/>
                <w:highlight w:val="none"/>
                <w:lang w:bidi="ar"/>
              </w:rPr>
              <w:t>注：本表反映部门本年度“三公”经费支出预决算情况。其中，预算数为“三公”经费全年预算数，反映按规定程序调整后的预算数；决算数是包括当年财政拨款和以前年度结转资金安排的实际支出。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mY3OTEwMjIyNWEwOTU0YzU3MmEwOGE1NzMyMTYifQ=="/>
  </w:docVars>
  <w:rsids>
    <w:rsidRoot w:val="08E664DB"/>
    <w:rsid w:val="08E6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60" w:lineRule="auto"/>
      <w:ind w:firstLine="668" w:firstLineChars="199"/>
    </w:pPr>
    <w:rPr>
      <w:rFonts w:ascii="仿宋_GB2312" w:eastAsia="仿宋_GB2312"/>
      <w:spacing w:val="6"/>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2023-11-23T09:11:00Z</dcterms:created>
  <dc:creator>牛腩女士</dc:creator>
  <cp:lastModifiedBy>牛腩女士</cp:lastModifiedBy>
  <dcterms:modified xsi:type="dcterms:W3CDTF">2023-11-23T09:12:32Z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D84DCB335B784AACBD54A7D990994294_11</vt:lpwstr>
  </property>
</Properties>
</file>